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 xml:space="preserve">Il licenziatario potrà riassegnare una licenza software, ma non entro 90 giorni dall’ultima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77777777"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1A357C">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1A357C">
            <w:rPr>
              <w:rFonts w:cs="Times New Roman"/>
              <w:noProof/>
              <w:sz w:val="18"/>
              <w:szCs w:val="18"/>
            </w:rPr>
            <w:t>3</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9Fqsj0la2eqOT8NTI51p5z3QZ6k=" w:salt="OzpXinR9eYNQ9PJpIDvJzQ=="/>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357C"/>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2016-04-27T11:29:00Z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